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20" w:rsidRPr="0063716B" w:rsidRDefault="00586F20" w:rsidP="00586F20">
      <w:pPr>
        <w:jc w:val="center"/>
        <w:rPr>
          <w:rFonts w:ascii="Arial" w:hAnsi="Arial"/>
          <w:u w:val="single"/>
        </w:rPr>
      </w:pPr>
      <w:bookmarkStart w:id="0" w:name="_GoBack"/>
      <w:bookmarkEnd w:id="0"/>
      <w:r>
        <w:rPr>
          <w:rFonts w:ascii="Arial" w:hAnsi="Arial"/>
          <w:u w:val="single"/>
        </w:rPr>
        <w:t>RECORD OF DELEGATED DECISION</w:t>
      </w:r>
      <w:r w:rsidRPr="0063716B">
        <w:rPr>
          <w:rFonts w:ascii="Arial" w:hAnsi="Arial"/>
          <w:u w:val="single"/>
        </w:rPr>
        <w:t xml:space="preserve"> BY </w:t>
      </w:r>
    </w:p>
    <w:p w:rsidR="008E0E6D" w:rsidRPr="0063716B" w:rsidRDefault="00EB7514" w:rsidP="00586F20">
      <w:pPr>
        <w:jc w:val="center"/>
        <w:rPr>
          <w:rFonts w:ascii="Arial" w:hAnsi="Arial"/>
          <w:u w:val="single"/>
        </w:rPr>
      </w:pPr>
      <w:r>
        <w:rPr>
          <w:rFonts w:ascii="Arial" w:hAnsi="Arial"/>
          <w:u w:val="single"/>
        </w:rPr>
        <w:t>THE</w:t>
      </w:r>
      <w:r w:rsidR="00662FE3">
        <w:rPr>
          <w:rFonts w:ascii="Arial" w:hAnsi="Arial"/>
          <w:u w:val="single"/>
        </w:rPr>
        <w:t xml:space="preserve"> PO</w:t>
      </w:r>
      <w:r w:rsidR="009550D4">
        <w:rPr>
          <w:rFonts w:ascii="Arial" w:hAnsi="Arial"/>
          <w:u w:val="single"/>
        </w:rPr>
        <w:t xml:space="preserve">RTFOLIO HOLDER FOR </w:t>
      </w:r>
      <w:r w:rsidR="00227C8F">
        <w:rPr>
          <w:rFonts w:ascii="Arial" w:hAnsi="Arial"/>
          <w:u w:val="single"/>
        </w:rPr>
        <w:t>CORPORATE AND FINANCE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718"/>
        <w:gridCol w:w="192"/>
        <w:gridCol w:w="1233"/>
        <w:gridCol w:w="1605"/>
        <w:gridCol w:w="1967"/>
      </w:tblGrid>
      <w:tr w:rsidR="00586F20" w:rsidRPr="005D5EBE" w:rsidTr="005D5EBE">
        <w:tc>
          <w:tcPr>
            <w:tcW w:w="4068" w:type="dxa"/>
            <w:gridSpan w:val="2"/>
            <w:shd w:val="clear" w:color="auto" w:fill="auto"/>
          </w:tcPr>
          <w:p w:rsidR="00631085" w:rsidRPr="005D5EBE" w:rsidRDefault="00631085" w:rsidP="00423B67">
            <w:pPr>
              <w:rPr>
                <w:rFonts w:ascii="Arial" w:hAnsi="Arial"/>
              </w:rPr>
            </w:pPr>
            <w:r w:rsidRPr="005D5EBE">
              <w:rPr>
                <w:rFonts w:ascii="Arial" w:hAnsi="Arial"/>
              </w:rPr>
              <w:t>Executive Decision –</w:t>
            </w:r>
            <w:r w:rsidR="00786FD0">
              <w:rPr>
                <w:rFonts w:ascii="Arial" w:hAnsi="Arial"/>
              </w:rPr>
              <w:t xml:space="preserve"> </w:t>
            </w:r>
            <w:r w:rsidR="009550D4">
              <w:rPr>
                <w:rFonts w:ascii="Arial" w:hAnsi="Arial"/>
              </w:rPr>
              <w:t xml:space="preserve"> </w:t>
            </w:r>
            <w:r w:rsidR="009E7D89">
              <w:rPr>
                <w:rFonts w:ascii="Arial" w:hAnsi="Arial"/>
              </w:rPr>
              <w:t>by Councillor Craig Whitby</w:t>
            </w:r>
          </w:p>
        </w:tc>
        <w:tc>
          <w:tcPr>
            <w:tcW w:w="5040" w:type="dxa"/>
            <w:gridSpan w:val="4"/>
            <w:shd w:val="clear" w:color="auto" w:fill="auto"/>
          </w:tcPr>
          <w:p w:rsidR="00586F20" w:rsidRPr="005D5EBE" w:rsidRDefault="00586F20" w:rsidP="001F1DD7">
            <w:pPr>
              <w:rPr>
                <w:rFonts w:ascii="Arial" w:hAnsi="Arial"/>
              </w:rPr>
            </w:pPr>
            <w:r w:rsidRPr="005D5EBE">
              <w:rPr>
                <w:rFonts w:ascii="Arial" w:hAnsi="Arial"/>
              </w:rPr>
              <w:t>Date of Decision</w:t>
            </w:r>
            <w:r w:rsidR="009E7D89">
              <w:rPr>
                <w:rFonts w:ascii="Arial" w:hAnsi="Arial"/>
              </w:rPr>
              <w:t xml:space="preserve"> 28 February 2022</w:t>
            </w:r>
          </w:p>
        </w:tc>
      </w:tr>
      <w:tr w:rsidR="00586F20" w:rsidRPr="005D5EBE" w:rsidTr="005D5EBE">
        <w:tc>
          <w:tcPr>
            <w:tcW w:w="9108" w:type="dxa"/>
            <w:gridSpan w:val="6"/>
            <w:shd w:val="clear" w:color="auto" w:fill="auto"/>
          </w:tcPr>
          <w:p w:rsidR="00586F20" w:rsidRPr="005D5EBE" w:rsidRDefault="00586F20" w:rsidP="001F1DD7">
            <w:pPr>
              <w:rPr>
                <w:rFonts w:ascii="Arial" w:hAnsi="Arial"/>
              </w:rPr>
            </w:pPr>
            <w:r w:rsidRPr="005D5EBE">
              <w:rPr>
                <w:rFonts w:ascii="Arial" w:hAnsi="Arial"/>
              </w:rPr>
              <w:t xml:space="preserve">Title/Reference: </w:t>
            </w:r>
            <w:r w:rsidR="009E7D89" w:rsidRPr="009E7D89">
              <w:rPr>
                <w:rFonts w:ascii="Arial" w:hAnsi="Arial" w:cs="Arial"/>
              </w:rPr>
              <w:t>Allocation Of Funds For The Warsop Health Hub Project</w:t>
            </w:r>
          </w:p>
        </w:tc>
      </w:tr>
      <w:tr w:rsidR="00586F20" w:rsidRPr="005D5EBE" w:rsidTr="005D5EBE">
        <w:tc>
          <w:tcPr>
            <w:tcW w:w="9108" w:type="dxa"/>
            <w:gridSpan w:val="6"/>
            <w:shd w:val="clear" w:color="auto" w:fill="auto"/>
          </w:tcPr>
          <w:p w:rsidR="00586F20" w:rsidRPr="005D5EBE" w:rsidRDefault="00586F20" w:rsidP="001F1DD7">
            <w:pPr>
              <w:rPr>
                <w:rFonts w:ascii="Arial" w:hAnsi="Arial"/>
              </w:rPr>
            </w:pPr>
            <w:r w:rsidRPr="005D5EBE">
              <w:rPr>
                <w:rFonts w:ascii="Arial" w:hAnsi="Arial"/>
              </w:rPr>
              <w:t xml:space="preserve">Consultee member (if applicable): </w:t>
            </w:r>
            <w:r w:rsidR="009550D4">
              <w:rPr>
                <w:rFonts w:ascii="Arial" w:hAnsi="Arial"/>
              </w:rPr>
              <w:t xml:space="preserve"> </w:t>
            </w:r>
            <w:r w:rsidR="009E7D89">
              <w:rPr>
                <w:rFonts w:ascii="Arial" w:hAnsi="Arial"/>
              </w:rPr>
              <w:t>Yes – Member Briefing held on 25 February 2022</w:t>
            </w:r>
          </w:p>
        </w:tc>
      </w:tr>
      <w:tr w:rsidR="00586F20" w:rsidRPr="005D5EBE" w:rsidTr="005D5EBE">
        <w:tc>
          <w:tcPr>
            <w:tcW w:w="4261" w:type="dxa"/>
            <w:gridSpan w:val="3"/>
            <w:shd w:val="clear" w:color="auto" w:fill="auto"/>
          </w:tcPr>
          <w:p w:rsidR="00586F20" w:rsidRPr="005D5EBE" w:rsidRDefault="00586F20" w:rsidP="001F1DD7">
            <w:pPr>
              <w:rPr>
                <w:rFonts w:ascii="Arial" w:hAnsi="Arial"/>
              </w:rPr>
            </w:pPr>
            <w:r w:rsidRPr="005D5EBE">
              <w:rPr>
                <w:rFonts w:ascii="Arial" w:hAnsi="Arial"/>
              </w:rPr>
              <w:t>Key Decision</w:t>
            </w:r>
            <w:r w:rsidR="00635017" w:rsidRPr="005D5EBE">
              <w:rPr>
                <w:rFonts w:ascii="Arial" w:hAnsi="Arial"/>
              </w:rPr>
              <w:t xml:space="preserve"> </w:t>
            </w:r>
            <w:r w:rsidR="00786FD0">
              <w:rPr>
                <w:rFonts w:ascii="Arial" w:hAnsi="Arial"/>
              </w:rPr>
              <w:t xml:space="preserve">– </w:t>
            </w:r>
            <w:r w:rsidR="009550D4">
              <w:rPr>
                <w:rFonts w:ascii="Arial" w:hAnsi="Arial"/>
              </w:rPr>
              <w:t xml:space="preserve"> </w:t>
            </w:r>
            <w:r w:rsidR="009E7D89">
              <w:rPr>
                <w:rFonts w:ascii="Arial" w:hAnsi="Arial"/>
              </w:rPr>
              <w:t>Yes</w:t>
            </w:r>
          </w:p>
        </w:tc>
        <w:tc>
          <w:tcPr>
            <w:tcW w:w="4847" w:type="dxa"/>
            <w:gridSpan w:val="3"/>
            <w:shd w:val="clear" w:color="auto" w:fill="auto"/>
          </w:tcPr>
          <w:p w:rsidR="00586F20" w:rsidRPr="005D5EBE" w:rsidRDefault="00586F20" w:rsidP="00993D2B">
            <w:pPr>
              <w:rPr>
                <w:rFonts w:ascii="Arial" w:hAnsi="Arial"/>
              </w:rPr>
            </w:pPr>
            <w:r w:rsidRPr="005D5EBE">
              <w:rPr>
                <w:rFonts w:ascii="Arial" w:hAnsi="Arial"/>
              </w:rPr>
              <w:t>Delegation Reference</w:t>
            </w:r>
            <w:r w:rsidR="00786FD0">
              <w:rPr>
                <w:rFonts w:ascii="Arial" w:hAnsi="Arial"/>
              </w:rPr>
              <w:t xml:space="preserve">: </w:t>
            </w:r>
            <w:r w:rsidR="009E7D89">
              <w:rPr>
                <w:rFonts w:ascii="Arial" w:hAnsi="Arial"/>
              </w:rPr>
              <w:t>22/05/PHC&amp;F</w:t>
            </w:r>
          </w:p>
          <w:p w:rsidR="00586F20" w:rsidRPr="005D5EBE" w:rsidRDefault="00586F20" w:rsidP="00993D2B">
            <w:pPr>
              <w:rPr>
                <w:rFonts w:ascii="Arial" w:hAnsi="Arial"/>
              </w:rPr>
            </w:pPr>
          </w:p>
        </w:tc>
      </w:tr>
      <w:tr w:rsidR="00586F20" w:rsidRPr="005D5EBE" w:rsidTr="005D5EBE">
        <w:tc>
          <w:tcPr>
            <w:tcW w:w="3348" w:type="dxa"/>
            <w:shd w:val="clear" w:color="auto" w:fill="auto"/>
          </w:tcPr>
          <w:p w:rsidR="00586F20" w:rsidRPr="005D5EBE" w:rsidRDefault="00586F20" w:rsidP="00CE692C">
            <w:pPr>
              <w:rPr>
                <w:rFonts w:ascii="Arial" w:hAnsi="Arial"/>
              </w:rPr>
            </w:pPr>
            <w:r w:rsidRPr="005D5EBE">
              <w:rPr>
                <w:rFonts w:ascii="Arial" w:hAnsi="Arial"/>
              </w:rPr>
              <w:t xml:space="preserve">Report and background </w:t>
            </w:r>
          </w:p>
        </w:tc>
        <w:tc>
          <w:tcPr>
            <w:tcW w:w="720" w:type="dxa"/>
            <w:shd w:val="clear" w:color="auto" w:fill="auto"/>
          </w:tcPr>
          <w:p w:rsidR="00586F20" w:rsidRPr="005D5EBE" w:rsidRDefault="009550D4" w:rsidP="00993D2B">
            <w:pPr>
              <w:rPr>
                <w:rFonts w:ascii="Arial" w:hAnsi="Arial"/>
              </w:rPr>
            </w:pPr>
            <w:r>
              <w:rPr>
                <w:rFonts w:ascii="Arial" w:hAnsi="Arial"/>
              </w:rPr>
              <w:t>Yes</w:t>
            </w:r>
          </w:p>
          <w:p w:rsidR="002C3C6A" w:rsidRPr="005D5EBE" w:rsidRDefault="002C3C6A" w:rsidP="00993D2B">
            <w:pPr>
              <w:rPr>
                <w:rFonts w:ascii="Arial" w:hAnsi="Arial"/>
              </w:rPr>
            </w:pPr>
          </w:p>
        </w:tc>
        <w:tc>
          <w:tcPr>
            <w:tcW w:w="1440" w:type="dxa"/>
            <w:gridSpan w:val="2"/>
            <w:shd w:val="clear" w:color="auto" w:fill="auto"/>
          </w:tcPr>
          <w:p w:rsidR="00586F20" w:rsidRPr="005D5EBE" w:rsidRDefault="00586F20" w:rsidP="00993D2B">
            <w:pPr>
              <w:rPr>
                <w:rFonts w:ascii="Arial" w:hAnsi="Arial"/>
              </w:rPr>
            </w:pPr>
            <w:r w:rsidRPr="005D5EBE">
              <w:rPr>
                <w:rFonts w:ascii="Arial" w:hAnsi="Arial"/>
              </w:rPr>
              <w:t xml:space="preserve">Public </w:t>
            </w:r>
            <w:r w:rsidR="009550D4">
              <w:rPr>
                <w:rFonts w:ascii="Arial" w:hAnsi="Arial"/>
              </w:rPr>
              <w:t xml:space="preserve"> Yes</w:t>
            </w:r>
          </w:p>
          <w:p w:rsidR="009840F5" w:rsidRPr="005D5EBE" w:rsidRDefault="009840F5" w:rsidP="00993D2B">
            <w:pPr>
              <w:rPr>
                <w:rFonts w:ascii="Arial" w:hAnsi="Arial"/>
              </w:rPr>
            </w:pPr>
          </w:p>
        </w:tc>
        <w:tc>
          <w:tcPr>
            <w:tcW w:w="1620" w:type="dxa"/>
            <w:shd w:val="clear" w:color="auto" w:fill="auto"/>
          </w:tcPr>
          <w:p w:rsidR="00586F20" w:rsidRPr="005D5EBE" w:rsidRDefault="00227C8F" w:rsidP="00993D2B">
            <w:pPr>
              <w:rPr>
                <w:rFonts w:ascii="Arial" w:hAnsi="Arial"/>
              </w:rPr>
            </w:pPr>
            <w:r w:rsidRPr="005D5EBE">
              <w:rPr>
                <w:rFonts w:ascii="Arial" w:hAnsi="Arial"/>
                <w:noProof/>
              </w:rPr>
              <mc:AlternateContent>
                <mc:Choice Requires="wps">
                  <w:drawing>
                    <wp:anchor distT="0" distB="0" distL="114300" distR="114300" simplePos="0" relativeHeight="251657216" behindDoc="0" locked="0" layoutInCell="1" allowOverlap="1">
                      <wp:simplePos x="0" y="0"/>
                      <wp:positionH relativeFrom="column">
                        <wp:posOffset>548640</wp:posOffset>
                      </wp:positionH>
                      <wp:positionV relativeFrom="paragraph">
                        <wp:posOffset>44450</wp:posOffset>
                      </wp:positionV>
                      <wp:extent cx="342900" cy="228600"/>
                      <wp:effectExtent l="7620" t="7620"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27067" w:rsidRPr="00121DA7" w:rsidRDefault="00227067" w:rsidP="00586F2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2pt;margin-top:3.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5wJwIAAE8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">
                      <v:textbox>
                        <w:txbxContent>
                          <w:p w:rsidR="00227067" w:rsidRPr="00121DA7" w:rsidRDefault="00227067" w:rsidP="00586F20">
                            <w:pPr>
                              <w:jc w:val="center"/>
                              <w:rPr>
                                <w:sz w:val="22"/>
                                <w:szCs w:val="22"/>
                              </w:rPr>
                            </w:pPr>
                          </w:p>
                        </w:txbxContent>
                      </v:textbox>
                    </v:shape>
                  </w:pict>
                </mc:Fallback>
              </mc:AlternateContent>
            </w:r>
            <w:r w:rsidR="00586F20" w:rsidRPr="005D5EBE">
              <w:rPr>
                <w:rFonts w:ascii="Arial" w:hAnsi="Arial"/>
              </w:rPr>
              <w:t>Exempt</w:t>
            </w:r>
          </w:p>
          <w:p w:rsidR="009840F5" w:rsidRPr="005D5EBE" w:rsidRDefault="009840F5" w:rsidP="00993D2B">
            <w:pPr>
              <w:rPr>
                <w:rFonts w:ascii="Arial" w:hAnsi="Arial"/>
              </w:rPr>
            </w:pPr>
          </w:p>
        </w:tc>
        <w:tc>
          <w:tcPr>
            <w:tcW w:w="1980" w:type="dxa"/>
            <w:shd w:val="clear" w:color="auto" w:fill="auto"/>
          </w:tcPr>
          <w:p w:rsidR="00586F20" w:rsidRPr="005D5EBE" w:rsidRDefault="00227C8F" w:rsidP="00993D2B">
            <w:pPr>
              <w:rPr>
                <w:rFonts w:ascii="Arial" w:hAnsi="Arial"/>
              </w:rPr>
            </w:pPr>
            <w:r w:rsidRPr="005D5EBE">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891540</wp:posOffset>
                      </wp:positionH>
                      <wp:positionV relativeFrom="paragraph">
                        <wp:posOffset>44450</wp:posOffset>
                      </wp:positionV>
                      <wp:extent cx="227965" cy="228600"/>
                      <wp:effectExtent l="7620" t="7620" r="1206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8600"/>
                              </a:xfrm>
                              <a:prstGeom prst="rect">
                                <a:avLst/>
                              </a:prstGeom>
                              <a:solidFill>
                                <a:srgbClr val="FFFFFF"/>
                              </a:solidFill>
                              <a:ln w="9525">
                                <a:solidFill>
                                  <a:srgbClr val="000000"/>
                                </a:solidFill>
                                <a:miter lim="800000"/>
                                <a:headEnd/>
                                <a:tailEnd/>
                              </a:ln>
                            </wps:spPr>
                            <wps:txbx>
                              <w:txbxContent>
                                <w:p w:rsidR="00227067" w:rsidRDefault="00227067" w:rsidP="0058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0.2pt;margin-top:3.5pt;width:17.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">
                      <v:textbox>
                        <w:txbxContent>
                          <w:p w:rsidR="00227067" w:rsidRDefault="00227067" w:rsidP="00586F20"/>
                        </w:txbxContent>
                      </v:textbox>
                    </v:shape>
                  </w:pict>
                </mc:Fallback>
              </mc:AlternateContent>
            </w:r>
            <w:r w:rsidR="00586F20" w:rsidRPr="005D5EBE">
              <w:rPr>
                <w:rFonts w:ascii="Arial" w:hAnsi="Arial"/>
              </w:rPr>
              <w:t xml:space="preserve">Confidential </w:t>
            </w:r>
          </w:p>
          <w:p w:rsidR="00586F20" w:rsidRPr="005D5EBE" w:rsidRDefault="00586F20" w:rsidP="00993D2B">
            <w:pPr>
              <w:rPr>
                <w:rFonts w:ascii="Arial" w:hAnsi="Arial"/>
              </w:rPr>
            </w:pPr>
          </w:p>
        </w:tc>
      </w:tr>
      <w:tr w:rsidR="00586F20" w:rsidRPr="005D5EBE" w:rsidTr="005D5EBE">
        <w:tc>
          <w:tcPr>
            <w:tcW w:w="9108" w:type="dxa"/>
            <w:gridSpan w:val="6"/>
            <w:shd w:val="clear" w:color="auto" w:fill="auto"/>
          </w:tcPr>
          <w:p w:rsidR="00586F20" w:rsidRDefault="00586F20" w:rsidP="005D5EBE">
            <w:pPr>
              <w:jc w:val="both"/>
              <w:rPr>
                <w:rFonts w:ascii="Arial" w:hAnsi="Arial"/>
              </w:rPr>
            </w:pPr>
            <w:r w:rsidRPr="005D5EBE">
              <w:rPr>
                <w:rFonts w:ascii="Arial" w:hAnsi="Arial"/>
              </w:rPr>
              <w:t>Record of Decision</w:t>
            </w:r>
          </w:p>
          <w:p w:rsidR="00C16312" w:rsidRPr="00C16312" w:rsidRDefault="00C16312" w:rsidP="00C16312">
            <w:pPr>
              <w:jc w:val="both"/>
              <w:rPr>
                <w:rFonts w:ascii="Arial" w:hAnsi="Arial" w:cs="Arial"/>
                <w:b/>
              </w:rPr>
            </w:pPr>
          </w:p>
          <w:p w:rsidR="00C16312" w:rsidRPr="00C16312" w:rsidRDefault="00C16312" w:rsidP="00C16312">
            <w:pPr>
              <w:ind w:left="709" w:firstLine="11"/>
              <w:jc w:val="both"/>
              <w:rPr>
                <w:rFonts w:ascii="Arial" w:hAnsi="Arial" w:cs="Arial"/>
                <w:b/>
              </w:rPr>
            </w:pPr>
            <w:r>
              <w:rPr>
                <w:rFonts w:ascii="Arial" w:hAnsi="Arial" w:cs="Arial"/>
                <w:b/>
              </w:rPr>
              <w:t>Resolved</w:t>
            </w:r>
            <w:r w:rsidRPr="00C16312">
              <w:rPr>
                <w:rFonts w:ascii="Arial" w:hAnsi="Arial" w:cs="Arial"/>
                <w:b/>
              </w:rPr>
              <w:t xml:space="preserve"> by the Portfolio Holder for Corporate and Finance and recommended to Council:</w:t>
            </w:r>
          </w:p>
          <w:p w:rsidR="00C16312" w:rsidRPr="00C16312" w:rsidRDefault="00C16312" w:rsidP="00C16312">
            <w:pPr>
              <w:jc w:val="both"/>
              <w:rPr>
                <w:rFonts w:ascii="Arial" w:hAnsi="Arial" w:cs="Arial"/>
                <w:b/>
              </w:rPr>
            </w:pPr>
          </w:p>
          <w:p w:rsidR="00C16312" w:rsidRPr="00C16312" w:rsidRDefault="00C16312" w:rsidP="00C16312">
            <w:pPr>
              <w:numPr>
                <w:ilvl w:val="0"/>
                <w:numId w:val="6"/>
              </w:numPr>
              <w:jc w:val="both"/>
              <w:rPr>
                <w:rFonts w:ascii="Arial" w:hAnsi="Arial" w:cs="Arial"/>
              </w:rPr>
            </w:pPr>
            <w:r w:rsidRPr="00C16312">
              <w:rPr>
                <w:rFonts w:ascii="Arial" w:hAnsi="Arial" w:cs="Arial"/>
              </w:rPr>
              <w:t>The allocation of £1.5m of earmarked reserves to part fund the total capital cost of delivering the Warsop Health Hub project</w:t>
            </w:r>
          </w:p>
          <w:p w:rsidR="00C16312" w:rsidRPr="00C16312" w:rsidRDefault="00C16312" w:rsidP="00C16312">
            <w:pPr>
              <w:numPr>
                <w:ilvl w:val="0"/>
                <w:numId w:val="6"/>
              </w:numPr>
              <w:jc w:val="both"/>
              <w:rPr>
                <w:rFonts w:ascii="Arial" w:hAnsi="Arial" w:cs="Arial"/>
              </w:rPr>
            </w:pPr>
            <w:r w:rsidRPr="00C16312">
              <w:rPr>
                <w:rFonts w:ascii="Arial" w:hAnsi="Arial" w:cs="Arial"/>
              </w:rPr>
              <w:t>The approval of borrowing of up to a maximum of £3.5m to fund the Warsop Health Hub project</w:t>
            </w:r>
          </w:p>
          <w:p w:rsidR="00C16312" w:rsidRPr="00C16312" w:rsidRDefault="00C16312" w:rsidP="00C16312">
            <w:pPr>
              <w:ind w:left="720"/>
              <w:jc w:val="both"/>
              <w:rPr>
                <w:rFonts w:ascii="Arial" w:hAnsi="Arial" w:cs="Arial"/>
              </w:rPr>
            </w:pPr>
          </w:p>
          <w:p w:rsidR="00C16312" w:rsidRPr="00C16312" w:rsidRDefault="00C16312" w:rsidP="00C16312">
            <w:pPr>
              <w:ind w:left="720"/>
              <w:rPr>
                <w:rFonts w:ascii="Arial" w:hAnsi="Arial" w:cs="Arial"/>
                <w:b/>
              </w:rPr>
            </w:pPr>
            <w:r w:rsidRPr="00C16312">
              <w:rPr>
                <w:rFonts w:ascii="Arial" w:hAnsi="Arial" w:cs="Arial"/>
                <w:b/>
              </w:rPr>
              <w:t>To be resolved by Council:</w:t>
            </w:r>
          </w:p>
          <w:p w:rsidR="00C16312" w:rsidRPr="00E8396C" w:rsidRDefault="00C16312" w:rsidP="00C16312">
            <w:pPr>
              <w:ind w:left="720"/>
              <w:rPr>
                <w:rFonts w:cs="Arial"/>
                <w:b/>
              </w:rPr>
            </w:pPr>
          </w:p>
          <w:p w:rsidR="00C16312" w:rsidRPr="00C16312" w:rsidRDefault="00C16312" w:rsidP="00C16312">
            <w:pPr>
              <w:numPr>
                <w:ilvl w:val="0"/>
                <w:numId w:val="6"/>
              </w:numPr>
              <w:jc w:val="both"/>
              <w:rPr>
                <w:rFonts w:ascii="Arial" w:hAnsi="Arial" w:cs="Arial"/>
              </w:rPr>
            </w:pPr>
            <w:r w:rsidRPr="00C16312">
              <w:rPr>
                <w:rFonts w:ascii="Arial" w:hAnsi="Arial" w:cs="Arial"/>
              </w:rPr>
              <w:t>That the ongoing revenue costs associated with the additional borrowing be added to revenue budgets.</w:t>
            </w:r>
          </w:p>
          <w:p w:rsidR="00586F20" w:rsidRPr="00C16312" w:rsidRDefault="00C16312" w:rsidP="005D5EBE">
            <w:pPr>
              <w:numPr>
                <w:ilvl w:val="0"/>
                <w:numId w:val="6"/>
              </w:numPr>
              <w:jc w:val="both"/>
              <w:rPr>
                <w:rFonts w:ascii="Arial" w:hAnsi="Arial" w:cs="Arial"/>
              </w:rPr>
            </w:pPr>
            <w:r w:rsidRPr="00C16312">
              <w:rPr>
                <w:rFonts w:ascii="Arial" w:hAnsi="Arial" w:cs="Arial"/>
              </w:rPr>
              <w:t>That the capital programme be amended to reflect the cost of the project.</w:t>
            </w:r>
          </w:p>
          <w:p w:rsidR="00586F20" w:rsidRPr="005D5EBE" w:rsidRDefault="00586F20" w:rsidP="005D5EBE">
            <w:pPr>
              <w:jc w:val="both"/>
              <w:rPr>
                <w:rFonts w:ascii="Arial" w:hAnsi="Arial"/>
              </w:rPr>
            </w:pPr>
          </w:p>
        </w:tc>
      </w:tr>
      <w:tr w:rsidR="00586F20" w:rsidRPr="005D5EBE" w:rsidTr="005D5EBE">
        <w:tc>
          <w:tcPr>
            <w:tcW w:w="9108" w:type="dxa"/>
            <w:gridSpan w:val="6"/>
            <w:shd w:val="clear" w:color="auto" w:fill="auto"/>
          </w:tcPr>
          <w:p w:rsidR="00C16312" w:rsidRDefault="003377B5" w:rsidP="00C77964">
            <w:pPr>
              <w:pStyle w:val="ListParagraph"/>
              <w:spacing w:after="240"/>
              <w:ind w:left="0"/>
              <w:contextualSpacing/>
              <w:jc w:val="left"/>
              <w:rPr>
                <w:rFonts w:cs="Arial"/>
                <w:sz w:val="24"/>
                <w:szCs w:val="24"/>
              </w:rPr>
            </w:pPr>
            <w:r>
              <w:rPr>
                <w:rFonts w:cs="Arial"/>
                <w:sz w:val="24"/>
                <w:szCs w:val="24"/>
              </w:rPr>
              <w:t>Reason for the Decision:</w:t>
            </w:r>
          </w:p>
          <w:p w:rsidR="00D96554" w:rsidRDefault="00D96554" w:rsidP="00C77964">
            <w:pPr>
              <w:pStyle w:val="ListParagraph"/>
              <w:spacing w:after="240"/>
              <w:ind w:left="0"/>
              <w:contextualSpacing/>
              <w:jc w:val="left"/>
              <w:rPr>
                <w:rFonts w:cs="Arial"/>
                <w:sz w:val="24"/>
                <w:szCs w:val="24"/>
              </w:rPr>
            </w:pPr>
          </w:p>
          <w:p w:rsidR="00D96554" w:rsidRDefault="00D96554" w:rsidP="00D96554">
            <w:pPr>
              <w:pStyle w:val="NoSpacing"/>
              <w:ind w:left="30" w:hanging="30"/>
              <w:jc w:val="both"/>
              <w:rPr>
                <w:rFonts w:ascii="Arial" w:hAnsi="Arial" w:cs="Arial"/>
                <w:sz w:val="24"/>
                <w:szCs w:val="24"/>
              </w:rPr>
            </w:pPr>
            <w:r>
              <w:rPr>
                <w:rFonts w:ascii="Arial" w:hAnsi="Arial" w:cs="Arial"/>
                <w:sz w:val="24"/>
                <w:szCs w:val="24"/>
              </w:rPr>
              <w:t xml:space="preserve">The origins of the Warsop Health Hub project date back to 2019 when Strategic Leisure were commissioned to undertake a detailed insight led research project looking into the leisure and community provision in Warsop and its links to the health and wellbeing outcomes of local people. The research process was supported by Warsop Parish Council, Active </w:t>
            </w:r>
            <w:proofErr w:type="spellStart"/>
            <w:r>
              <w:rPr>
                <w:rFonts w:ascii="Arial" w:hAnsi="Arial" w:cs="Arial"/>
                <w:sz w:val="24"/>
                <w:szCs w:val="24"/>
              </w:rPr>
              <w:t>Notts</w:t>
            </w:r>
            <w:proofErr w:type="spellEnd"/>
            <w:r>
              <w:rPr>
                <w:rFonts w:ascii="Arial" w:hAnsi="Arial" w:cs="Arial"/>
                <w:sz w:val="24"/>
                <w:szCs w:val="24"/>
              </w:rPr>
              <w:t xml:space="preserve"> and Vibrant </w:t>
            </w:r>
            <w:proofErr w:type="spellStart"/>
            <w:r>
              <w:rPr>
                <w:rFonts w:ascii="Arial" w:hAnsi="Arial" w:cs="Arial"/>
                <w:sz w:val="24"/>
                <w:szCs w:val="24"/>
              </w:rPr>
              <w:t>Warsop</w:t>
            </w:r>
            <w:proofErr w:type="spellEnd"/>
            <w:r>
              <w:rPr>
                <w:rFonts w:ascii="Arial" w:hAnsi="Arial" w:cs="Arial"/>
                <w:sz w:val="24"/>
                <w:szCs w:val="24"/>
              </w:rPr>
              <w:t xml:space="preserve"> and included </w:t>
            </w:r>
            <w:r w:rsidRPr="00F610F9">
              <w:rPr>
                <w:rFonts w:ascii="Arial" w:hAnsi="Arial" w:cs="Arial"/>
                <w:sz w:val="24"/>
                <w:szCs w:val="24"/>
              </w:rPr>
              <w:t>an extensive programme of engagement</w:t>
            </w:r>
            <w:r>
              <w:rPr>
                <w:rFonts w:ascii="Arial" w:hAnsi="Arial" w:cs="Arial"/>
                <w:sz w:val="24"/>
                <w:szCs w:val="24"/>
              </w:rPr>
              <w:t xml:space="preserve"> and consultation</w:t>
            </w:r>
            <w:r w:rsidRPr="00F610F9">
              <w:rPr>
                <w:rFonts w:ascii="Arial" w:hAnsi="Arial" w:cs="Arial"/>
                <w:sz w:val="24"/>
                <w:szCs w:val="24"/>
              </w:rPr>
              <w:t xml:space="preserve"> with a large number of key stakeholders i</w:t>
            </w:r>
            <w:r>
              <w:rPr>
                <w:rFonts w:ascii="Arial" w:hAnsi="Arial" w:cs="Arial"/>
                <w:sz w:val="24"/>
                <w:szCs w:val="24"/>
              </w:rPr>
              <w:t>ncluding council services;</w:t>
            </w:r>
            <w:r w:rsidRPr="00F610F9">
              <w:rPr>
                <w:rFonts w:ascii="Arial" w:hAnsi="Arial" w:cs="Arial"/>
                <w:sz w:val="24"/>
                <w:szCs w:val="24"/>
              </w:rPr>
              <w:t xml:space="preserve"> </w:t>
            </w:r>
            <w:r>
              <w:rPr>
                <w:rFonts w:ascii="Arial" w:hAnsi="Arial" w:cs="Arial"/>
                <w:sz w:val="24"/>
                <w:szCs w:val="24"/>
              </w:rPr>
              <w:t xml:space="preserve">local </w:t>
            </w:r>
            <w:r w:rsidRPr="00F610F9">
              <w:rPr>
                <w:rFonts w:ascii="Arial" w:hAnsi="Arial" w:cs="Arial"/>
                <w:sz w:val="24"/>
                <w:szCs w:val="24"/>
              </w:rPr>
              <w:t xml:space="preserve">clubs and </w:t>
            </w:r>
            <w:r>
              <w:rPr>
                <w:rFonts w:ascii="Arial" w:hAnsi="Arial" w:cs="Arial"/>
                <w:sz w:val="24"/>
                <w:szCs w:val="24"/>
              </w:rPr>
              <w:t>community groups within Warsop; service providers; and members of the</w:t>
            </w:r>
            <w:r w:rsidRPr="00F610F9">
              <w:rPr>
                <w:rFonts w:ascii="Arial" w:hAnsi="Arial" w:cs="Arial"/>
                <w:sz w:val="24"/>
                <w:szCs w:val="24"/>
              </w:rPr>
              <w:t xml:space="preserve"> local community. </w:t>
            </w:r>
            <w:r>
              <w:rPr>
                <w:rFonts w:ascii="Arial" w:hAnsi="Arial" w:cs="Arial"/>
                <w:sz w:val="24"/>
                <w:szCs w:val="24"/>
              </w:rPr>
              <w:t>Engagement and consultation events and meetings were held over a period of months and a</w:t>
            </w:r>
            <w:r w:rsidRPr="00F610F9">
              <w:rPr>
                <w:rFonts w:ascii="Arial" w:hAnsi="Arial" w:cs="Arial"/>
                <w:sz w:val="24"/>
                <w:szCs w:val="24"/>
              </w:rPr>
              <w:t xml:space="preserve"> community-wide survey was</w:t>
            </w:r>
            <w:r>
              <w:rPr>
                <w:rFonts w:ascii="Arial" w:hAnsi="Arial" w:cs="Arial"/>
                <w:sz w:val="24"/>
                <w:szCs w:val="24"/>
              </w:rPr>
              <w:t xml:space="preserve"> also</w:t>
            </w:r>
            <w:r w:rsidRPr="00F610F9">
              <w:rPr>
                <w:rFonts w:ascii="Arial" w:hAnsi="Arial" w:cs="Arial"/>
                <w:sz w:val="24"/>
                <w:szCs w:val="24"/>
              </w:rPr>
              <w:t xml:space="preserve"> produced and distributed (paper copies and online) to </w:t>
            </w:r>
            <w:r>
              <w:rPr>
                <w:rFonts w:ascii="Arial" w:hAnsi="Arial" w:cs="Arial"/>
                <w:sz w:val="24"/>
                <w:szCs w:val="24"/>
              </w:rPr>
              <w:t xml:space="preserve">help </w:t>
            </w:r>
            <w:r w:rsidRPr="00F610F9">
              <w:rPr>
                <w:rFonts w:ascii="Arial" w:hAnsi="Arial" w:cs="Arial"/>
                <w:sz w:val="24"/>
                <w:szCs w:val="24"/>
              </w:rPr>
              <w:t>understand</w:t>
            </w:r>
            <w:r>
              <w:rPr>
                <w:rFonts w:ascii="Arial" w:hAnsi="Arial" w:cs="Arial"/>
                <w:sz w:val="24"/>
                <w:szCs w:val="24"/>
              </w:rPr>
              <w:t xml:space="preserve"> the views of local residents</w:t>
            </w:r>
            <w:r w:rsidRPr="00F610F9">
              <w:rPr>
                <w:rFonts w:ascii="Arial" w:hAnsi="Arial" w:cs="Arial"/>
                <w:sz w:val="24"/>
                <w:szCs w:val="24"/>
              </w:rPr>
              <w:t>.</w:t>
            </w:r>
          </w:p>
          <w:p w:rsidR="00D96554" w:rsidRDefault="00D96554" w:rsidP="00D96554">
            <w:pPr>
              <w:pStyle w:val="NoSpacing"/>
              <w:ind w:left="30" w:hanging="30"/>
              <w:jc w:val="both"/>
              <w:rPr>
                <w:rFonts w:ascii="Arial" w:hAnsi="Arial" w:cs="Arial"/>
                <w:sz w:val="24"/>
                <w:szCs w:val="24"/>
              </w:rPr>
            </w:pPr>
          </w:p>
          <w:p w:rsidR="00D96554" w:rsidRDefault="00D96554" w:rsidP="00D96554">
            <w:pPr>
              <w:pStyle w:val="NoSpacing"/>
              <w:ind w:left="30" w:hanging="30"/>
              <w:jc w:val="both"/>
              <w:rPr>
                <w:rFonts w:ascii="Arial" w:hAnsi="Arial" w:cs="Arial"/>
                <w:sz w:val="24"/>
                <w:szCs w:val="24"/>
              </w:rPr>
            </w:pPr>
            <w:r>
              <w:rPr>
                <w:rFonts w:ascii="Arial" w:hAnsi="Arial" w:cs="Arial"/>
                <w:sz w:val="24"/>
                <w:szCs w:val="24"/>
              </w:rPr>
              <w:t>The outcome of this process was to identify a series of recommendations, one of which was focused on the need for improved leisure and community facilities to support health and wellbeing activities and the co-location of local services. With this in mind, Sport England visited Warsop in February 2020 and identified the need for a feasibility study to be completed to explore the potential for investment in a new health and wellbeing hub facility in-line with their emerging Leisure Local initiative and new approach to facility development.</w:t>
            </w:r>
          </w:p>
          <w:p w:rsidR="00D96554" w:rsidRDefault="00D96554" w:rsidP="00D96554">
            <w:pPr>
              <w:pStyle w:val="NoSpacing"/>
              <w:ind w:left="720" w:hanging="720"/>
              <w:jc w:val="both"/>
              <w:rPr>
                <w:rFonts w:ascii="Arial" w:hAnsi="Arial" w:cs="Arial"/>
                <w:sz w:val="24"/>
                <w:szCs w:val="24"/>
              </w:rPr>
            </w:pPr>
          </w:p>
          <w:p w:rsidR="00D96554" w:rsidRDefault="00D96554" w:rsidP="00D96554">
            <w:pPr>
              <w:pStyle w:val="NoSpacing"/>
              <w:jc w:val="both"/>
              <w:rPr>
                <w:rFonts w:ascii="Arial" w:hAnsi="Arial" w:cs="Arial"/>
                <w:sz w:val="24"/>
                <w:szCs w:val="24"/>
              </w:rPr>
            </w:pPr>
            <w:r>
              <w:rPr>
                <w:rFonts w:ascii="Arial" w:hAnsi="Arial" w:cs="Arial"/>
                <w:sz w:val="24"/>
                <w:szCs w:val="24"/>
              </w:rPr>
              <w:t xml:space="preserve">Strategic Leisure were then further commissioned to develop the feasibility study as requested by Sport England, which was completed in March 2021. At this time, the council was also preparing its Town Fund submission to Government, and as </w:t>
            </w:r>
            <w:r>
              <w:rPr>
                <w:rFonts w:ascii="Arial" w:hAnsi="Arial" w:cs="Arial"/>
                <w:sz w:val="24"/>
                <w:szCs w:val="24"/>
              </w:rPr>
              <w:lastRenderedPageBreak/>
              <w:t>consequence, the decision was taken to include Warsop Health Hub as part of its proposals. Completion of the feasibility study identified a capital scheme inclusive of the following facility mix to be located on the preferred site of Carr Lane Park:</w:t>
            </w:r>
          </w:p>
          <w:p w:rsidR="00D96554" w:rsidRPr="00D96554" w:rsidRDefault="00D96554" w:rsidP="00D96554">
            <w:pPr>
              <w:pStyle w:val="NoSpacing"/>
              <w:ind w:left="30" w:hanging="30"/>
              <w:jc w:val="both"/>
              <w:rPr>
                <w:rFonts w:ascii="Arial" w:hAnsi="Arial" w:cs="Arial"/>
                <w:sz w:val="24"/>
                <w:szCs w:val="24"/>
              </w:rPr>
            </w:pPr>
          </w:p>
          <w:p w:rsidR="00C16312" w:rsidRPr="002700C0" w:rsidRDefault="002700C0" w:rsidP="002700C0">
            <w:pPr>
              <w:ind w:left="30" w:hanging="30"/>
              <w:jc w:val="both"/>
              <w:rPr>
                <w:rFonts w:ascii="Arial" w:hAnsi="Arial" w:cs="Arial"/>
                <w:color w:val="000000"/>
              </w:rPr>
            </w:pPr>
            <w:r>
              <w:rPr>
                <w:rFonts w:ascii="Arial" w:hAnsi="Arial" w:cs="Arial"/>
                <w:color w:val="000000"/>
              </w:rPr>
              <w:t>A</w:t>
            </w:r>
            <w:r w:rsidRPr="002700C0">
              <w:rPr>
                <w:rFonts w:ascii="Arial" w:hAnsi="Arial" w:cs="Arial"/>
                <w:color w:val="000000"/>
              </w:rPr>
              <w:t xml:space="preserve"> council contribution to the capital cost of the Warsop Health Hub project is an expectation and requirement of the Sport England funding process. The allocation of reserves, and the approval to borrow, is therefore necessary in order to ensure that the bid process can commence. Failure to do so would be a significant risk to the council’s success in securing Sport England funding.</w:t>
            </w:r>
            <w:r>
              <w:rPr>
                <w:rFonts w:ascii="Arial" w:hAnsi="Arial" w:cs="Arial"/>
                <w:color w:val="000000"/>
              </w:rPr>
              <w:t xml:space="preserve">  Full details can be found within the report.</w:t>
            </w:r>
          </w:p>
        </w:tc>
      </w:tr>
      <w:tr w:rsidR="00586F20" w:rsidRPr="005D5EBE" w:rsidTr="005D5EBE">
        <w:tc>
          <w:tcPr>
            <w:tcW w:w="9108" w:type="dxa"/>
            <w:gridSpan w:val="6"/>
            <w:shd w:val="clear" w:color="auto" w:fill="auto"/>
          </w:tcPr>
          <w:p w:rsidR="00586F20" w:rsidRPr="005D5EBE" w:rsidRDefault="00E4397C" w:rsidP="00993D2B">
            <w:pPr>
              <w:rPr>
                <w:rFonts w:ascii="Arial" w:hAnsi="Arial"/>
              </w:rPr>
            </w:pPr>
            <w:r w:rsidRPr="005D5EBE">
              <w:rPr>
                <w:rFonts w:ascii="Arial" w:hAnsi="Arial"/>
              </w:rPr>
              <w:lastRenderedPageBreak/>
              <w:t>Other o</w:t>
            </w:r>
            <w:r w:rsidR="00586F20" w:rsidRPr="005D5EBE">
              <w:rPr>
                <w:rFonts w:ascii="Arial" w:hAnsi="Arial"/>
              </w:rPr>
              <w:t>ptions considered but rejected</w:t>
            </w:r>
          </w:p>
          <w:p w:rsidR="00586F20" w:rsidRPr="005D5EBE" w:rsidRDefault="00586F20" w:rsidP="00993D2B">
            <w:pPr>
              <w:rPr>
                <w:rFonts w:ascii="Arial" w:hAnsi="Arial"/>
              </w:rPr>
            </w:pPr>
          </w:p>
          <w:p w:rsidR="00C16312" w:rsidRPr="00C16312" w:rsidRDefault="00C16312" w:rsidP="00C16312">
            <w:pPr>
              <w:ind w:left="30"/>
              <w:jc w:val="both"/>
              <w:rPr>
                <w:rFonts w:ascii="Arial" w:hAnsi="Arial"/>
                <w:bCs/>
                <w:u w:val="single"/>
              </w:rPr>
            </w:pPr>
            <w:r w:rsidRPr="00C16312">
              <w:rPr>
                <w:rFonts w:ascii="Arial" w:hAnsi="Arial"/>
                <w:bCs/>
              </w:rPr>
              <w:t xml:space="preserve">Not Approve the Allocation of Earmarked Reserves or borrowing. </w:t>
            </w:r>
          </w:p>
          <w:p w:rsidR="00586F20" w:rsidRPr="002700C0" w:rsidRDefault="00C16312" w:rsidP="002700C0">
            <w:pPr>
              <w:ind w:left="30" w:hanging="30"/>
              <w:jc w:val="both"/>
              <w:rPr>
                <w:rFonts w:ascii="Arial" w:hAnsi="Arial"/>
                <w:bCs/>
              </w:rPr>
            </w:pPr>
            <w:r w:rsidRPr="00C16312">
              <w:rPr>
                <w:rFonts w:ascii="Arial" w:hAnsi="Arial"/>
                <w:bCs/>
              </w:rPr>
              <w:t>This option is not recommended. Failure to allocate reserves and approve the use of borrowing will result in a significant funding shortfall that will jeopardise delivery of the project.</w:t>
            </w:r>
          </w:p>
        </w:tc>
      </w:tr>
      <w:tr w:rsidR="00586F20" w:rsidRPr="005D5EBE" w:rsidTr="005D5EBE">
        <w:tc>
          <w:tcPr>
            <w:tcW w:w="9108" w:type="dxa"/>
            <w:gridSpan w:val="6"/>
            <w:shd w:val="clear" w:color="auto" w:fill="auto"/>
          </w:tcPr>
          <w:p w:rsidR="00586F20" w:rsidRPr="005D5EBE" w:rsidRDefault="00786FD0" w:rsidP="001F1DD7">
            <w:pPr>
              <w:rPr>
                <w:rFonts w:ascii="Arial" w:hAnsi="Arial"/>
              </w:rPr>
            </w:pPr>
            <w:r>
              <w:rPr>
                <w:rFonts w:ascii="Arial" w:hAnsi="Arial"/>
              </w:rPr>
              <w:t xml:space="preserve">Decision subject to call in:  </w:t>
            </w:r>
            <w:r w:rsidR="00C16312">
              <w:rPr>
                <w:rFonts w:ascii="Arial" w:hAnsi="Arial"/>
              </w:rPr>
              <w:t>Yes</w:t>
            </w:r>
            <w:r w:rsidR="00772B24">
              <w:rPr>
                <w:rFonts w:ascii="Arial" w:hAnsi="Arial"/>
              </w:rPr>
              <w:t xml:space="preserve"> but for recommendations (</w:t>
            </w:r>
            <w:proofErr w:type="spellStart"/>
            <w:r w:rsidR="00772B24">
              <w:rPr>
                <w:rFonts w:ascii="Arial" w:hAnsi="Arial"/>
              </w:rPr>
              <w:t>i</w:t>
            </w:r>
            <w:proofErr w:type="spellEnd"/>
            <w:r w:rsidR="00772B24">
              <w:rPr>
                <w:rFonts w:ascii="Arial" w:hAnsi="Arial"/>
              </w:rPr>
              <w:t>) and (ii)</w:t>
            </w:r>
            <w:r w:rsidR="00F05255">
              <w:rPr>
                <w:rFonts w:ascii="Arial" w:hAnsi="Arial"/>
              </w:rPr>
              <w:t xml:space="preserve"> only.</w:t>
            </w:r>
          </w:p>
        </w:tc>
      </w:tr>
      <w:tr w:rsidR="009840F5" w:rsidRPr="005D5EBE" w:rsidTr="005D5EBE">
        <w:tc>
          <w:tcPr>
            <w:tcW w:w="9108" w:type="dxa"/>
            <w:gridSpan w:val="6"/>
            <w:shd w:val="clear" w:color="auto" w:fill="auto"/>
          </w:tcPr>
          <w:p w:rsidR="009840F5" w:rsidRPr="005D5EBE" w:rsidRDefault="009840F5" w:rsidP="00993D2B">
            <w:pPr>
              <w:rPr>
                <w:rFonts w:ascii="Arial" w:hAnsi="Arial"/>
              </w:rPr>
            </w:pPr>
          </w:p>
        </w:tc>
      </w:tr>
    </w:tbl>
    <w:p w:rsidR="00586F20" w:rsidRPr="0063716B" w:rsidRDefault="00586F20" w:rsidP="00586F20">
      <w:pPr>
        <w:rPr>
          <w:rFonts w:ascii="Arial" w:hAnsi="Arial"/>
        </w:rPr>
      </w:pPr>
    </w:p>
    <w:p w:rsidR="00586F20" w:rsidRPr="0063716B" w:rsidRDefault="00586F20" w:rsidP="00227067">
      <w:pPr>
        <w:tabs>
          <w:tab w:val="left" w:pos="7473"/>
        </w:tabs>
        <w:rPr>
          <w:rFonts w:ascii="Arial" w:hAnsi="Arial"/>
        </w:rPr>
      </w:pPr>
      <w:r w:rsidRPr="0063716B">
        <w:rPr>
          <w:rFonts w:ascii="Arial" w:hAnsi="Arial"/>
        </w:rPr>
        <w:t>Signed:</w:t>
      </w:r>
      <w:r w:rsidR="005539C9">
        <w:rPr>
          <w:rFonts w:ascii="Arial" w:hAnsi="Arial"/>
        </w:rPr>
        <w:t xml:space="preserve"> </w:t>
      </w:r>
      <w:r w:rsidR="00721168">
        <w:rPr>
          <w:rFonts w:ascii="Arial" w:hAnsi="Arial"/>
        </w:rPr>
        <w:t>………………………………………</w:t>
      </w:r>
      <w:r w:rsidR="00786FD0">
        <w:rPr>
          <w:rFonts w:ascii="Arial" w:hAnsi="Arial"/>
        </w:rPr>
        <w:t xml:space="preserve">       </w:t>
      </w:r>
      <w:r w:rsidR="00E4397C">
        <w:rPr>
          <w:rFonts w:ascii="Arial" w:hAnsi="Arial"/>
        </w:rPr>
        <w:t xml:space="preserve"> </w:t>
      </w:r>
    </w:p>
    <w:p w:rsidR="00586F20" w:rsidRPr="0063716B" w:rsidRDefault="00C77964" w:rsidP="00586F20">
      <w:pPr>
        <w:rPr>
          <w:rFonts w:ascii="Arial" w:hAnsi="Arial"/>
        </w:rPr>
      </w:pPr>
      <w:r>
        <w:rPr>
          <w:rFonts w:ascii="Arial" w:hAnsi="Arial"/>
        </w:rPr>
        <w:t xml:space="preserve">Portfolio Holder for </w:t>
      </w:r>
      <w:r w:rsidR="002700C0">
        <w:rPr>
          <w:rFonts w:ascii="Arial" w:hAnsi="Arial"/>
        </w:rPr>
        <w:t>Corporate and Finance</w:t>
      </w:r>
      <w:r w:rsidR="00D96554">
        <w:rPr>
          <w:rFonts w:ascii="Arial" w:hAnsi="Arial"/>
        </w:rPr>
        <w:t xml:space="preserve"> – Councillor Craig Whitby</w:t>
      </w:r>
    </w:p>
    <w:p w:rsidR="00C77964" w:rsidRDefault="00C77964" w:rsidP="00586F20">
      <w:pPr>
        <w:rPr>
          <w:rFonts w:ascii="Arial" w:hAnsi="Arial"/>
        </w:rPr>
      </w:pPr>
    </w:p>
    <w:p w:rsidR="00586F20" w:rsidRDefault="00586F20" w:rsidP="00586F20">
      <w:pPr>
        <w:rPr>
          <w:rFonts w:ascii="Arial" w:hAnsi="Arial"/>
        </w:rPr>
      </w:pPr>
      <w:r w:rsidRPr="0063716B">
        <w:rPr>
          <w:rFonts w:ascii="Arial" w:hAnsi="Arial"/>
        </w:rPr>
        <w:t>Date:</w:t>
      </w:r>
      <w:r>
        <w:rPr>
          <w:rFonts w:ascii="Arial" w:hAnsi="Arial"/>
        </w:rPr>
        <w:t xml:space="preserve"> </w:t>
      </w:r>
      <w:r w:rsidR="002700C0">
        <w:rPr>
          <w:rFonts w:ascii="Arial" w:hAnsi="Arial"/>
        </w:rPr>
        <w:t>28 February 2022</w:t>
      </w:r>
    </w:p>
    <w:p w:rsidR="00472360" w:rsidRDefault="00472360" w:rsidP="00CE692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6683"/>
      </w:tblGrid>
      <w:tr w:rsidR="008E0E6D" w:rsidRPr="00785220" w:rsidTr="00785220">
        <w:tc>
          <w:tcPr>
            <w:tcW w:w="2376" w:type="dxa"/>
            <w:shd w:val="clear" w:color="auto" w:fill="auto"/>
          </w:tcPr>
          <w:p w:rsidR="008E0E6D" w:rsidRPr="00785220" w:rsidRDefault="008E0E6D" w:rsidP="00CE692C">
            <w:pPr>
              <w:rPr>
                <w:rFonts w:ascii="Arial" w:hAnsi="Arial"/>
              </w:rPr>
            </w:pPr>
            <w:r w:rsidRPr="00785220">
              <w:rPr>
                <w:rFonts w:ascii="Arial" w:hAnsi="Arial"/>
              </w:rPr>
              <w:t>Contact Officer</w:t>
            </w:r>
          </w:p>
        </w:tc>
        <w:tc>
          <w:tcPr>
            <w:tcW w:w="6866" w:type="dxa"/>
            <w:shd w:val="clear" w:color="auto" w:fill="auto"/>
          </w:tcPr>
          <w:p w:rsidR="008E0E6D" w:rsidRPr="00785220" w:rsidRDefault="002700C0" w:rsidP="00CE692C">
            <w:pPr>
              <w:rPr>
                <w:rFonts w:ascii="Arial" w:hAnsi="Arial"/>
              </w:rPr>
            </w:pPr>
            <w:r>
              <w:rPr>
                <w:rFonts w:ascii="Arial" w:hAnsi="Arial"/>
              </w:rPr>
              <w:t>David Evans</w:t>
            </w:r>
          </w:p>
        </w:tc>
      </w:tr>
      <w:tr w:rsidR="008E0E6D" w:rsidRPr="00785220" w:rsidTr="00785220">
        <w:tc>
          <w:tcPr>
            <w:tcW w:w="2376" w:type="dxa"/>
            <w:shd w:val="clear" w:color="auto" w:fill="auto"/>
          </w:tcPr>
          <w:p w:rsidR="008E0E6D" w:rsidRPr="00785220" w:rsidRDefault="008E0E6D" w:rsidP="00CE692C">
            <w:pPr>
              <w:rPr>
                <w:rFonts w:ascii="Arial" w:hAnsi="Arial"/>
              </w:rPr>
            </w:pPr>
            <w:r w:rsidRPr="00785220">
              <w:rPr>
                <w:rFonts w:ascii="Arial" w:hAnsi="Arial"/>
              </w:rPr>
              <w:t>Designation</w:t>
            </w:r>
          </w:p>
        </w:tc>
        <w:tc>
          <w:tcPr>
            <w:tcW w:w="6866" w:type="dxa"/>
            <w:shd w:val="clear" w:color="auto" w:fill="auto"/>
          </w:tcPr>
          <w:p w:rsidR="008E0E6D" w:rsidRPr="00785220" w:rsidRDefault="002700C0" w:rsidP="00CE692C">
            <w:pPr>
              <w:rPr>
                <w:rFonts w:ascii="Arial" w:hAnsi="Arial"/>
              </w:rPr>
            </w:pPr>
            <w:r>
              <w:rPr>
                <w:rFonts w:ascii="Arial" w:hAnsi="Arial"/>
              </w:rPr>
              <w:t>Head of Health and Communities</w:t>
            </w:r>
          </w:p>
        </w:tc>
      </w:tr>
      <w:tr w:rsidR="008E0E6D" w:rsidRPr="00785220" w:rsidTr="00785220">
        <w:tc>
          <w:tcPr>
            <w:tcW w:w="2376" w:type="dxa"/>
            <w:shd w:val="clear" w:color="auto" w:fill="auto"/>
          </w:tcPr>
          <w:p w:rsidR="008E0E6D" w:rsidRPr="00785220" w:rsidRDefault="008E0E6D" w:rsidP="00CE692C">
            <w:pPr>
              <w:rPr>
                <w:rFonts w:ascii="Arial" w:hAnsi="Arial"/>
              </w:rPr>
            </w:pPr>
            <w:r w:rsidRPr="00785220">
              <w:rPr>
                <w:rFonts w:ascii="Arial" w:hAnsi="Arial"/>
              </w:rPr>
              <w:t>Telephone</w:t>
            </w:r>
          </w:p>
        </w:tc>
        <w:tc>
          <w:tcPr>
            <w:tcW w:w="6866" w:type="dxa"/>
            <w:shd w:val="clear" w:color="auto" w:fill="auto"/>
          </w:tcPr>
          <w:p w:rsidR="008E0E6D" w:rsidRPr="00F05255" w:rsidRDefault="002700C0" w:rsidP="00CE692C">
            <w:pPr>
              <w:rPr>
                <w:rFonts w:ascii="Arial" w:hAnsi="Arial" w:cs="Arial"/>
              </w:rPr>
            </w:pPr>
            <w:r w:rsidRPr="00F05255">
              <w:rPr>
                <w:rFonts w:ascii="Arial" w:hAnsi="Arial" w:cs="Arial"/>
              </w:rPr>
              <w:t>01623 463168</w:t>
            </w:r>
          </w:p>
        </w:tc>
      </w:tr>
      <w:tr w:rsidR="008E0E6D" w:rsidRPr="00785220" w:rsidTr="00785220">
        <w:tc>
          <w:tcPr>
            <w:tcW w:w="2376" w:type="dxa"/>
            <w:shd w:val="clear" w:color="auto" w:fill="auto"/>
          </w:tcPr>
          <w:p w:rsidR="008E0E6D" w:rsidRPr="00785220" w:rsidRDefault="008E0E6D" w:rsidP="00CE692C">
            <w:pPr>
              <w:rPr>
                <w:rFonts w:ascii="Arial" w:hAnsi="Arial"/>
              </w:rPr>
            </w:pPr>
            <w:r w:rsidRPr="00785220">
              <w:rPr>
                <w:rFonts w:ascii="Arial" w:hAnsi="Arial"/>
              </w:rPr>
              <w:t>Email</w:t>
            </w:r>
          </w:p>
        </w:tc>
        <w:tc>
          <w:tcPr>
            <w:tcW w:w="6866" w:type="dxa"/>
            <w:shd w:val="clear" w:color="auto" w:fill="auto"/>
          </w:tcPr>
          <w:p w:rsidR="008E0E6D" w:rsidRPr="00F05255" w:rsidRDefault="002700C0" w:rsidP="00CE692C">
            <w:pPr>
              <w:rPr>
                <w:rFonts w:ascii="Arial" w:hAnsi="Arial" w:cs="Arial"/>
              </w:rPr>
            </w:pPr>
            <w:r w:rsidRPr="00F05255">
              <w:rPr>
                <w:rFonts w:ascii="Arial" w:hAnsi="Arial" w:cs="Arial"/>
              </w:rPr>
              <w:t>evansd@mansfield.gov.uk</w:t>
            </w:r>
          </w:p>
        </w:tc>
      </w:tr>
    </w:tbl>
    <w:p w:rsidR="00472360" w:rsidRPr="0063716B" w:rsidRDefault="00472360" w:rsidP="00CE692C">
      <w:pPr>
        <w:rPr>
          <w:rFonts w:ascii="Arial" w:hAnsi="Arial"/>
        </w:rPr>
      </w:pPr>
    </w:p>
    <w:p w:rsidR="009840F5" w:rsidRPr="0063716B" w:rsidRDefault="009840F5" w:rsidP="00CE692C">
      <w:pPr>
        <w:rPr>
          <w:rFonts w:ascii="Arial" w:hAnsi="Arial"/>
        </w:rPr>
      </w:pPr>
    </w:p>
    <w:sectPr w:rsidR="009840F5" w:rsidRPr="0063716B" w:rsidSect="00993D2B">
      <w:footerReference w:type="default" r:id="rId7"/>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255" w:rsidRDefault="00F05255">
      <w:r>
        <w:separator/>
      </w:r>
    </w:p>
  </w:endnote>
  <w:endnote w:type="continuationSeparator" w:id="0">
    <w:p w:rsidR="00F05255" w:rsidRDefault="00F0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67" w:rsidRPr="00211366" w:rsidRDefault="00227067">
    <w:pPr>
      <w:pStyle w:val="Footer"/>
      <w:rPr>
        <w:sz w:val="20"/>
        <w:szCs w:val="20"/>
      </w:rPr>
    </w:pPr>
    <w:r w:rsidRPr="00211366">
      <w:rPr>
        <w:sz w:val="20"/>
        <w:szCs w:val="20"/>
      </w:rPr>
      <w:t>CEO1/RECORD OF EXECUTIVE DECISIONS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255" w:rsidRDefault="00F05255">
      <w:r>
        <w:separator/>
      </w:r>
    </w:p>
  </w:footnote>
  <w:footnote w:type="continuationSeparator" w:id="0">
    <w:p w:rsidR="00F05255" w:rsidRDefault="00F05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5A45"/>
    <w:multiLevelType w:val="hybridMultilevel"/>
    <w:tmpl w:val="13C4A2EA"/>
    <w:lvl w:ilvl="0" w:tplc="90EE8ECE">
      <w:start w:val="1"/>
      <w:numFmt w:val="lowerRoman"/>
      <w:lvlText w:val="(%1)"/>
      <w:lvlJc w:val="left"/>
      <w:pPr>
        <w:ind w:left="1440" w:hanging="72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135638"/>
    <w:multiLevelType w:val="hybridMultilevel"/>
    <w:tmpl w:val="C292ECC2"/>
    <w:lvl w:ilvl="0" w:tplc="83FE07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8F50CB"/>
    <w:multiLevelType w:val="hybridMultilevel"/>
    <w:tmpl w:val="1AEAEE22"/>
    <w:lvl w:ilvl="0" w:tplc="693C83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3D65616"/>
    <w:multiLevelType w:val="hybridMultilevel"/>
    <w:tmpl w:val="A22E5036"/>
    <w:lvl w:ilvl="0" w:tplc="9F0E4AE6">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76FB5703"/>
    <w:multiLevelType w:val="multilevel"/>
    <w:tmpl w:val="88EAF84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3C75EE"/>
    <w:multiLevelType w:val="multilevel"/>
    <w:tmpl w:val="9C0C1F3A"/>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55"/>
    <w:rsid w:val="00134B8A"/>
    <w:rsid w:val="001921E7"/>
    <w:rsid w:val="001F1DD7"/>
    <w:rsid w:val="00227067"/>
    <w:rsid w:val="00227C8F"/>
    <w:rsid w:val="0023254F"/>
    <w:rsid w:val="002700C0"/>
    <w:rsid w:val="0028681A"/>
    <w:rsid w:val="002C3C6A"/>
    <w:rsid w:val="003377B5"/>
    <w:rsid w:val="00357D5A"/>
    <w:rsid w:val="00423B67"/>
    <w:rsid w:val="00472360"/>
    <w:rsid w:val="004F498B"/>
    <w:rsid w:val="005539C9"/>
    <w:rsid w:val="00586F20"/>
    <w:rsid w:val="005D5EBE"/>
    <w:rsid w:val="005F640D"/>
    <w:rsid w:val="00631085"/>
    <w:rsid w:val="00635017"/>
    <w:rsid w:val="00662FE3"/>
    <w:rsid w:val="006C1C2E"/>
    <w:rsid w:val="00721168"/>
    <w:rsid w:val="00772B24"/>
    <w:rsid w:val="00785220"/>
    <w:rsid w:val="00786FD0"/>
    <w:rsid w:val="008E0E6D"/>
    <w:rsid w:val="009550D4"/>
    <w:rsid w:val="00965F46"/>
    <w:rsid w:val="009840F5"/>
    <w:rsid w:val="00993D2B"/>
    <w:rsid w:val="009E7D89"/>
    <w:rsid w:val="00A1191A"/>
    <w:rsid w:val="00A95041"/>
    <w:rsid w:val="00C124F0"/>
    <w:rsid w:val="00C16312"/>
    <w:rsid w:val="00C77964"/>
    <w:rsid w:val="00CE692C"/>
    <w:rsid w:val="00CF1D40"/>
    <w:rsid w:val="00D95F59"/>
    <w:rsid w:val="00D96554"/>
    <w:rsid w:val="00E4397C"/>
    <w:rsid w:val="00EB7514"/>
    <w:rsid w:val="00F05255"/>
    <w:rsid w:val="00F65A7D"/>
    <w:rsid w:val="00F8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F48E10-790B-4802-ABCD-06700277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9840F5"/>
    <w:rPr>
      <w:color w:val="0000FF"/>
      <w:u w:val="single"/>
    </w:rPr>
  </w:style>
  <w:style w:type="paragraph" w:styleId="ListParagraph">
    <w:name w:val="List Paragraph"/>
    <w:basedOn w:val="Normal"/>
    <w:uiPriority w:val="34"/>
    <w:qFormat/>
    <w:rsid w:val="009550D4"/>
    <w:pPr>
      <w:ind w:left="720"/>
      <w:jc w:val="both"/>
    </w:pPr>
    <w:rPr>
      <w:rFonts w:ascii="Arial" w:hAnsi="Arial"/>
      <w:sz w:val="22"/>
      <w:szCs w:val="22"/>
    </w:rPr>
  </w:style>
  <w:style w:type="paragraph" w:styleId="NoSpacing">
    <w:name w:val="No Spacing"/>
    <w:uiPriority w:val="1"/>
    <w:qFormat/>
    <w:rsid w:val="00D9655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right\Desktop\Printing\To%20be%20printed\2205PPHC&amp;F%20Warsop%20Health%20Hub%20Proje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2205PPHC&amp;F Warsop Health Hub Project.dotx</Template>
  <TotalTime>0</TotalTime>
  <Pages>2</Pages>
  <Words>608</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Gabriella Wright</dc:creator>
  <cp:keywords/>
  <dc:description/>
  <cp:lastModifiedBy>Administrator</cp:lastModifiedBy>
  <cp:revision>2</cp:revision>
  <cp:lastPrinted>2014-06-03T11:56:00Z</cp:lastPrinted>
  <dcterms:created xsi:type="dcterms:W3CDTF">2022-02-23T16:27:00Z</dcterms:created>
  <dcterms:modified xsi:type="dcterms:W3CDTF">2022-02-23T16:27:00Z</dcterms:modified>
</cp:coreProperties>
</file>